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" w:cs="Inter" w:eastAsia="Inter" w:hAnsi="Inter"/>
          <w:color w:val="ffffff"/>
          <w:sz w:val="30"/>
          <w:szCs w:val="30"/>
          <w:shd w:fill="cc0000" w:val="clear"/>
        </w:rPr>
      </w:pPr>
      <w:r w:rsidDel="00000000" w:rsidR="00000000" w:rsidRPr="00000000">
        <w:rPr>
          <w:rFonts w:ascii="Inter" w:cs="Inter" w:eastAsia="Inter" w:hAnsi="Inter"/>
          <w:color w:val="ffffff"/>
          <w:sz w:val="30"/>
          <w:szCs w:val="30"/>
          <w:shd w:fill="cc0000" w:val="clear"/>
          <w:rtl w:val="0"/>
        </w:rPr>
        <w:t xml:space="preserve">Please make a copy of this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Inter" w:cs="Inter" w:eastAsia="Inter" w:hAnsi="Inter"/>
        </w:rPr>
      </w:pPr>
      <w:bookmarkStart w:colFirst="0" w:colLast="0" w:name="_tpwrset02vks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Surat Pemutusan Kontrak Kerja Sama Jasa Pembangunan Gedung Kantor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Nomor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   : [Nomor Surat]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Lampiran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  : [Jika Ada / —]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Perihal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   : Pemutusan Kontrak Kerja Sama [Jenis Pekerjaan]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Kepada Yth.</w:t>
        <w:br w:type="textWrapping"/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Direktur [Nama Perusahaan Vendor]</w:t>
        <w:br w:type="textWrapping"/>
        <w:t xml:space="preserve">di Tempat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Dengan hormat,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Sehubungan dengan pelaksanaan pekerjaan [Nama Proyek / Jenis Kegiatan] berdasarkan kontrak kerja sama Nomor: [Nomor Kontrak Kerja Sama] tertanggal [Tanggal Kontrak], bersama ini kami sampaikan bahwa proyek tersebut </w:t>
      </w: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tidak dapat dilanjutkan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 karena [alasan pemutusan: contoh – ketidaksesuaian progres kerja, pelanggaran kontrak, dll].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Berdasarkan hasil evaluasi teknis dan administratif, kontrak kerja sama dengan [Nama Vendor] secara resmi </w:t>
      </w: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dinyatakan berakhir per tanggal [Tanggal Efektif Pemutusan]</w:t>
      </w: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Keputusan ini diambil karena [uraian alasan lebih rinci, misalnya: ketidakmampuan penyedia dalam memenuhi target waktu dan mutu kerja sesuai yang telah ditetapkan dalam kontrak].</w:t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Proses pemutusan kontrak ini dilakukan dengan merujuk pada: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Pasal [Nomor Pasal dan Ayat] dalam dokumen kontrak kerja sama,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[Nama regulasi/peraturan yang relevan, misal: Peraturan Presiden No. 12 Tahun 2021], dan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Dokumen Rencana Pelaksanaan Pekerjaan (RPP) yang telah disepakati bersama.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b w:val="1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Konsekuensi pemutusan kontrak meliputi: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Pencairan Jaminan Pelaksanaan sesuai mekanisme yang berlaku,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Penyelesaian pengembalian uang muka oleh penyedia jasa,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Pengenaan sanksi administratif sesuai ketentuan hukum,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Pertimbangan masuknya penyedia jasa ke dalam daftar hitam (blacklist) berdasarkan hasil evaluasi akhir.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Kami mengucapkan terima kasih atas kerja sama yang telah dilakukan, dan berharap keputusan ini dapat dipahami sebagai langkah menjaga akuntabilitas dan integritas pelaksanaan proyek secara menyeluruh.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Hormat kami,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b w:val="1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Kepala [Nama Satuan Kerja / Unit Pengguna Jasa]</w:t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[Wilayah / Nama Instansi]</w:t>
        <w:br w:type="textWrapping"/>
        <w:t xml:space="preserve">[Nama Pejabat yang Berwenang]</w:t>
        <w:br w:type="textWrapping"/>
        <w:t xml:space="preserve">NIP: [Nomor Induk Pegawai]</w:t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b w:val="1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Tembusan: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Kepala [Dinas/Instansi Terkait]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Inspektorat [Provinsi/Kota]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PPK Proyek [Nama Proyek]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Tim Konsultan Pengawas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Arsip</w:t>
        <w:br w:type="textWrapping"/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0" w:firstLine="0"/>
        <w:rPr>
          <w:rFonts w:ascii="Inter" w:cs="Inter" w:eastAsia="Inter" w:hAnsi="Inter"/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0" w:firstLine="0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240" w:befor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